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44" w:rsidRDefault="00091144" w:rsidP="00091144">
      <w:pPr>
        <w:jc w:val="center"/>
        <w:rPr>
          <w:rFonts w:ascii="Broadway" w:hAnsi="Broadway"/>
          <w:sz w:val="40"/>
          <w:szCs w:val="40"/>
        </w:rPr>
      </w:pPr>
      <w:r>
        <w:rPr>
          <w:rFonts w:ascii="Broadway" w:hAnsi="Broadway"/>
          <w:sz w:val="40"/>
          <w:szCs w:val="40"/>
        </w:rPr>
        <w:t>Descripción de las variables estadísticas unidad dirección de turismo de san Joaquín.</w:t>
      </w:r>
    </w:p>
    <w:p w:rsidR="00091144" w:rsidRDefault="00091144" w:rsidP="00091144">
      <w:pPr>
        <w:jc w:val="both"/>
        <w:rPr>
          <w:rFonts w:ascii="High Tower Text" w:hAnsi="High Tower Text"/>
          <w:sz w:val="28"/>
          <w:szCs w:val="28"/>
        </w:rPr>
      </w:pPr>
    </w:p>
    <w:p w:rsidR="00091144" w:rsidRDefault="00091144" w:rsidP="00091144">
      <w:pPr>
        <w:jc w:val="both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Las variables utilizadas en las estadísticas: Solicitudes de información son de carácter cuantitativo y se refiere únicamente a la cantidad de encuestas de satisfacción en la estadía en nuestro Municipio de San Joaquín, a continuación, se presenta la tabla que se llena de manera mensual para alimentar la base de datos de dicha estadística con los números que corresponde.</w:t>
      </w:r>
    </w:p>
    <w:p w:rsidR="00091144" w:rsidRDefault="00091144" w:rsidP="00091144">
      <w:pPr>
        <w:jc w:val="both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 xml:space="preserve">En la siguiente tabla se muestra el resultado de los tres meses </w:t>
      </w:r>
      <w:r>
        <w:rPr>
          <w:rFonts w:ascii="High Tower Text" w:hAnsi="High Tower Text"/>
          <w:sz w:val="28"/>
          <w:szCs w:val="28"/>
        </w:rPr>
        <w:t>octubre</w:t>
      </w:r>
      <w:r>
        <w:rPr>
          <w:rFonts w:ascii="High Tower Text" w:hAnsi="High Tower Text"/>
          <w:sz w:val="28"/>
          <w:szCs w:val="28"/>
        </w:rPr>
        <w:t xml:space="preserve">, </w:t>
      </w:r>
      <w:r>
        <w:rPr>
          <w:rFonts w:ascii="High Tower Text" w:hAnsi="High Tower Text"/>
          <w:sz w:val="28"/>
          <w:szCs w:val="28"/>
        </w:rPr>
        <w:t>noviembre</w:t>
      </w:r>
      <w:r>
        <w:rPr>
          <w:rFonts w:ascii="High Tower Text" w:hAnsi="High Tower Text"/>
          <w:sz w:val="28"/>
          <w:szCs w:val="28"/>
        </w:rPr>
        <w:t xml:space="preserve"> y </w:t>
      </w:r>
      <w:r>
        <w:rPr>
          <w:rFonts w:ascii="High Tower Text" w:hAnsi="High Tower Text"/>
          <w:sz w:val="28"/>
          <w:szCs w:val="28"/>
        </w:rPr>
        <w:t>diciembre</w:t>
      </w:r>
      <w:r>
        <w:rPr>
          <w:rFonts w:ascii="High Tower Text" w:hAnsi="High Tower Text"/>
          <w:sz w:val="28"/>
          <w:szCs w:val="28"/>
        </w:rPr>
        <w:t xml:space="preserve">, del </w:t>
      </w:r>
      <w:r>
        <w:rPr>
          <w:rFonts w:ascii="High Tower Text" w:hAnsi="High Tower Text"/>
          <w:sz w:val="28"/>
          <w:szCs w:val="28"/>
        </w:rPr>
        <w:t>cuarto</w:t>
      </w:r>
      <w:r>
        <w:rPr>
          <w:rFonts w:ascii="High Tower Text" w:hAnsi="High Tower Text"/>
          <w:sz w:val="28"/>
          <w:szCs w:val="28"/>
        </w:rPr>
        <w:t xml:space="preserve"> trimestre del año 2025.</w:t>
      </w:r>
    </w:p>
    <w:tbl>
      <w:tblPr>
        <w:tblStyle w:val="Tablaconcuadrcula"/>
        <w:tblpPr w:leftFromText="180" w:rightFromText="180" w:vertAnchor="text" w:horzAnchor="page" w:tblpX="1624" w:tblpY="554"/>
        <w:tblOverlap w:val="never"/>
        <w:tblW w:w="0" w:type="auto"/>
        <w:tblLook w:val="04A0" w:firstRow="1" w:lastRow="0" w:firstColumn="1" w:lastColumn="0" w:noHBand="0" w:noVBand="1"/>
      </w:tblPr>
      <w:tblGrid>
        <w:gridCol w:w="1376"/>
        <w:gridCol w:w="590"/>
        <w:gridCol w:w="564"/>
        <w:gridCol w:w="631"/>
        <w:gridCol w:w="631"/>
        <w:gridCol w:w="669"/>
        <w:gridCol w:w="557"/>
        <w:gridCol w:w="494"/>
        <w:gridCol w:w="622"/>
        <w:gridCol w:w="571"/>
        <w:gridCol w:w="585"/>
        <w:gridCol w:w="652"/>
        <w:gridCol w:w="552"/>
      </w:tblGrid>
      <w:tr w:rsidR="00091144" w:rsidTr="00091144">
        <w:tc>
          <w:tcPr>
            <w:tcW w:w="1376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Procedencia</w:t>
            </w:r>
          </w:p>
        </w:tc>
        <w:tc>
          <w:tcPr>
            <w:tcW w:w="590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Ene</w:t>
            </w:r>
          </w:p>
        </w:tc>
        <w:tc>
          <w:tcPr>
            <w:tcW w:w="564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Feb</w:t>
            </w:r>
          </w:p>
        </w:tc>
        <w:tc>
          <w:tcPr>
            <w:tcW w:w="631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Mar</w:t>
            </w:r>
          </w:p>
        </w:tc>
        <w:tc>
          <w:tcPr>
            <w:tcW w:w="631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Abr</w:t>
            </w:r>
          </w:p>
        </w:tc>
        <w:tc>
          <w:tcPr>
            <w:tcW w:w="669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proofErr w:type="spellStart"/>
            <w:r>
              <w:rPr>
                <w:rFonts w:ascii="High Tower Text" w:hAnsi="High Tower Text"/>
                <w:color w:val="000000" w:themeColor="text1"/>
              </w:rPr>
              <w:t>May</w:t>
            </w:r>
            <w:proofErr w:type="spellEnd"/>
          </w:p>
        </w:tc>
        <w:tc>
          <w:tcPr>
            <w:tcW w:w="557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Jun</w:t>
            </w:r>
          </w:p>
        </w:tc>
        <w:tc>
          <w:tcPr>
            <w:tcW w:w="494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Jul</w:t>
            </w:r>
          </w:p>
        </w:tc>
        <w:tc>
          <w:tcPr>
            <w:tcW w:w="622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proofErr w:type="spellStart"/>
            <w:r>
              <w:rPr>
                <w:rFonts w:ascii="High Tower Text" w:hAnsi="High Tower Text"/>
                <w:color w:val="000000" w:themeColor="text1"/>
              </w:rPr>
              <w:t>Ago</w:t>
            </w:r>
            <w:proofErr w:type="spellEnd"/>
          </w:p>
        </w:tc>
        <w:tc>
          <w:tcPr>
            <w:tcW w:w="571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proofErr w:type="spellStart"/>
            <w:r>
              <w:rPr>
                <w:rFonts w:ascii="High Tower Text" w:hAnsi="High Tower Text"/>
                <w:color w:val="000000" w:themeColor="text1"/>
              </w:rPr>
              <w:t>Sep</w:t>
            </w:r>
            <w:proofErr w:type="spellEnd"/>
          </w:p>
        </w:tc>
        <w:tc>
          <w:tcPr>
            <w:tcW w:w="585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Oct</w:t>
            </w:r>
          </w:p>
        </w:tc>
        <w:tc>
          <w:tcPr>
            <w:tcW w:w="652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Nov</w:t>
            </w:r>
          </w:p>
        </w:tc>
        <w:tc>
          <w:tcPr>
            <w:tcW w:w="552" w:type="dxa"/>
            <w:shd w:val="clear" w:color="auto" w:fill="A8D08D" w:themeFill="accent6" w:themeFillTint="99"/>
          </w:tcPr>
          <w:p w:rsidR="00091144" w:rsidRDefault="00091144" w:rsidP="008B7CAF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>
              <w:rPr>
                <w:rFonts w:ascii="High Tower Text" w:hAnsi="High Tower Text"/>
                <w:color w:val="000000" w:themeColor="text1"/>
              </w:rPr>
              <w:t>Dic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Aguas Calientes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Baja California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Baja California Sur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Campeche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Coahuila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Colima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Chiapas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Chihuahua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Durango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Distrito Federal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Guanajuato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Guerrero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Hidalgo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Jalisco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both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México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Michoacán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Morelos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Nayarit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Nuevo León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Oaxaca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Puebla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lastRenderedPageBreak/>
              <w:t>Querétaro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Quintana Roo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San Luis Potosí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Sinaloa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Sonora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Tabasco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Tamaulipas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Tlaxcala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Veracruz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Yucatán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</w:tr>
      <w:tr w:rsidR="006A5DCC" w:rsidTr="00634557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Zacatecas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center"/>
            </w:pPr>
          </w:p>
        </w:tc>
        <w:tc>
          <w:tcPr>
            <w:tcW w:w="494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6A5DCC" w:rsidRDefault="006A5DCC" w:rsidP="006A5DCC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A5DCC" w:rsidTr="006A5DCC">
        <w:tc>
          <w:tcPr>
            <w:tcW w:w="1376" w:type="dxa"/>
          </w:tcPr>
          <w:p w:rsidR="006A5DCC" w:rsidRDefault="006A5DCC" w:rsidP="006A5DCC">
            <w:pPr>
              <w:jc w:val="center"/>
              <w:rPr>
                <w:rFonts w:ascii="High Tower Text" w:hAnsi="High Tower Text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494" w:type="dxa"/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622" w:type="dxa"/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571" w:type="dxa"/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center"/>
              <w:textAlignment w:val="bottom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Calibri" w:eastAsia="SimSun" w:hAnsi="Calibri" w:cs="Calibri"/>
                <w:color w:val="3F3F76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3F3F76"/>
                <w:sz w:val="24"/>
                <w:szCs w:val="24"/>
              </w:rPr>
            </w:pPr>
            <w:r>
              <w:rPr>
                <w:rFonts w:ascii="Calibri" w:hAnsi="Calibri" w:cs="Calibri"/>
                <w:color w:val="3F3F76"/>
              </w:rPr>
              <w:t>42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21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bottom"/>
          </w:tcPr>
          <w:p w:rsidR="006A5DCC" w:rsidRDefault="006A5DCC" w:rsidP="006A5DCC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</w:tr>
    </w:tbl>
    <w:p w:rsidR="00091144" w:rsidRDefault="00091144" w:rsidP="00091144">
      <w:pPr>
        <w:jc w:val="both"/>
        <w:rPr>
          <w:rFonts w:ascii="High Tower Text" w:hAnsi="High Tower Text"/>
          <w:sz w:val="28"/>
          <w:szCs w:val="28"/>
        </w:rPr>
      </w:pPr>
    </w:p>
    <w:p w:rsidR="005B60CB" w:rsidRDefault="005B60CB"/>
    <w:p w:rsidR="00961895" w:rsidRDefault="00961895">
      <w:bookmarkStart w:id="0" w:name="_GoBack"/>
      <w:bookmarkEnd w:id="0"/>
    </w:p>
    <w:sectPr w:rsidR="00961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44"/>
    <w:rsid w:val="00091144"/>
    <w:rsid w:val="005B60CB"/>
    <w:rsid w:val="006A5DCC"/>
    <w:rsid w:val="0096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9095"/>
  <w15:chartTrackingRefBased/>
  <w15:docId w15:val="{659F82E6-3141-4D35-AAD7-386FDB28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1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1144"/>
    <w:pPr>
      <w:spacing w:after="0" w:line="240" w:lineRule="auto"/>
    </w:pPr>
    <w:rPr>
      <w:rFonts w:eastAsiaTheme="minorEastAsia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2</cp:revision>
  <dcterms:created xsi:type="dcterms:W3CDTF">2026-01-09T17:48:00Z</dcterms:created>
  <dcterms:modified xsi:type="dcterms:W3CDTF">2026-01-09T22:10:00Z</dcterms:modified>
</cp:coreProperties>
</file>